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rPr>
          <w:rStyle w:val="8"/>
          <w:rFonts w:hint="eastAsia"/>
          <w:b/>
        </w:rPr>
      </w:pPr>
      <w:r>
        <w:rPr>
          <w:rStyle w:val="8"/>
          <w:rFonts w:hint="eastAsia"/>
          <w:b/>
        </w:rPr>
        <w:t>商业银行综合业务实验软件主要技术参数</w:t>
      </w:r>
    </w:p>
    <w:p>
      <w:pPr>
        <w:numPr>
          <w:ilvl w:val="0"/>
          <w:numId w:val="1"/>
        </w:numPr>
        <w:spacing w:line="360" w:lineRule="auto"/>
        <w:ind w:left="357" w:hanging="357"/>
        <w:rPr>
          <w:rFonts w:hint="eastAsia"/>
          <w:sz w:val="24"/>
        </w:rPr>
      </w:pPr>
      <w:bookmarkStart w:id="0" w:name="_GoBack"/>
      <w:r>
        <w:rPr>
          <w:rFonts w:hint="eastAsia"/>
          <w:sz w:val="24"/>
        </w:rPr>
        <w:t>能够帮助学生在模拟的软件环境中熟悉现代商业银行的各种金融产品、工作场景、工具、工作流程，而不仅仅是简单地提供银行业务软件的模拟。</w:t>
      </w:r>
    </w:p>
    <w:p>
      <w:pPr>
        <w:numPr>
          <w:ilvl w:val="0"/>
          <w:numId w:val="1"/>
        </w:numPr>
        <w:spacing w:line="360" w:lineRule="auto"/>
        <w:ind w:left="357" w:hanging="357"/>
        <w:rPr>
          <w:rFonts w:hint="eastAsia"/>
          <w:sz w:val="24"/>
        </w:rPr>
      </w:pPr>
      <w:r>
        <w:rPr>
          <w:rFonts w:hint="eastAsia"/>
          <w:sz w:val="24"/>
        </w:rPr>
        <w:t>在技术上必须采用B/S结构开发，学生和老师操作通过浏览器进行，无需安装客户端。</w:t>
      </w:r>
    </w:p>
    <w:p>
      <w:pPr>
        <w:numPr>
          <w:ilvl w:val="0"/>
          <w:numId w:val="1"/>
        </w:numPr>
        <w:spacing w:line="360" w:lineRule="auto"/>
        <w:ind w:left="357" w:hanging="357"/>
        <w:rPr>
          <w:rFonts w:hint="eastAsia"/>
          <w:sz w:val="24"/>
        </w:rPr>
      </w:pPr>
      <w:r>
        <w:rPr>
          <w:rFonts w:hint="eastAsia"/>
          <w:sz w:val="24"/>
        </w:rPr>
        <w:t>系统架构合理，能保证系统稳定运行。</w:t>
      </w:r>
    </w:p>
    <w:p>
      <w:pPr>
        <w:numPr>
          <w:ilvl w:val="0"/>
          <w:numId w:val="1"/>
        </w:numPr>
        <w:spacing w:line="360" w:lineRule="auto"/>
        <w:ind w:left="357" w:hanging="357"/>
        <w:rPr>
          <w:rFonts w:hint="eastAsia"/>
          <w:sz w:val="24"/>
        </w:rPr>
      </w:pPr>
      <w:r>
        <w:rPr>
          <w:rFonts w:hint="eastAsia"/>
          <w:sz w:val="24"/>
        </w:rPr>
        <w:t>内容上必须包含现代商业银行的对公、对私、国际结算和贷款业务，以其操作流程和规范为基础，同时结合学校金融专业教学需求，专门从教学实践的角度重新设计。</w:t>
      </w:r>
    </w:p>
    <w:bookmarkEnd w:id="0"/>
    <w:p>
      <w:pPr>
        <w:numPr>
          <w:ilvl w:val="0"/>
          <w:numId w:val="1"/>
        </w:numPr>
        <w:spacing w:line="360" w:lineRule="auto"/>
        <w:ind w:left="357" w:hanging="357"/>
        <w:rPr>
          <w:rFonts w:hint="eastAsia"/>
          <w:sz w:val="24"/>
        </w:rPr>
      </w:pPr>
      <w:r>
        <w:rPr>
          <w:rFonts w:hint="eastAsia"/>
          <w:sz w:val="24"/>
        </w:rPr>
        <w:t>提供银行业务涉及的各种单据凭证，全部需要按照真实的内容和尺寸设计，提供完整的填写说明，并且配合各种业务提供相关会计科目和流程图解。</w:t>
      </w:r>
    </w:p>
    <w:p>
      <w:pPr>
        <w:numPr>
          <w:ilvl w:val="0"/>
          <w:numId w:val="1"/>
        </w:numPr>
        <w:spacing w:line="360" w:lineRule="auto"/>
        <w:ind w:left="357" w:hanging="357"/>
        <w:rPr>
          <w:rFonts w:hint="eastAsia"/>
          <w:sz w:val="24"/>
        </w:rPr>
      </w:pPr>
      <w:r>
        <w:rPr>
          <w:rFonts w:hint="eastAsia"/>
          <w:sz w:val="24"/>
        </w:rPr>
        <w:t>能够提供完整的银行业务解决方案，对银行现有业务进行有机整理，每个业务必须有明确的教学目的和实现手段。每个银行业务中要包含相关业务的实务图解和相关凭证；然后才是让学生进入模拟的工作场景进行相关实训。</w:t>
      </w:r>
    </w:p>
    <w:p>
      <w:pPr>
        <w:numPr>
          <w:ilvl w:val="0"/>
          <w:numId w:val="1"/>
        </w:numPr>
        <w:spacing w:line="360" w:lineRule="auto"/>
        <w:ind w:left="357" w:hanging="357"/>
        <w:rPr>
          <w:rFonts w:hint="eastAsia"/>
          <w:sz w:val="24"/>
        </w:rPr>
      </w:pPr>
      <w:r>
        <w:rPr>
          <w:rFonts w:hint="eastAsia"/>
          <w:sz w:val="24"/>
        </w:rPr>
        <w:t>在实训模块中，能够采用3D实景方式仿真包括银行大厅、对公对私柜面的画面、贷款和国际结算和其他办公场景的情况，帮助学生熟悉银行的工作环境和管理体系。能够模拟完整的银行工作环境，包括银行业务系统软件、工作台、存单凭证、点钞机等等。</w:t>
      </w:r>
    </w:p>
    <w:p>
      <w:pPr>
        <w:numPr>
          <w:ilvl w:val="0"/>
          <w:numId w:val="1"/>
        </w:numPr>
        <w:spacing w:line="360" w:lineRule="auto"/>
        <w:ind w:left="357" w:hanging="357"/>
        <w:rPr>
          <w:rFonts w:hint="eastAsia"/>
          <w:sz w:val="24"/>
        </w:rPr>
      </w:pPr>
      <w:r>
        <w:rPr>
          <w:rFonts w:hint="eastAsia"/>
          <w:sz w:val="24"/>
        </w:rPr>
        <w:t>模拟实践部分必须包含银行的综合业务系统软件模拟，而且需要仿真处理如点钞、签章、单据打印以及相关的业务流程的模拟。</w:t>
      </w:r>
    </w:p>
    <w:p>
      <w:pPr>
        <w:numPr>
          <w:ilvl w:val="0"/>
          <w:numId w:val="1"/>
        </w:numPr>
        <w:spacing w:line="360" w:lineRule="auto"/>
        <w:ind w:left="357" w:hanging="357"/>
        <w:rPr>
          <w:rFonts w:hint="eastAsia"/>
          <w:sz w:val="24"/>
        </w:rPr>
      </w:pPr>
      <w:r>
        <w:rPr>
          <w:rFonts w:hint="eastAsia"/>
          <w:sz w:val="24"/>
        </w:rPr>
        <w:t>有学生查询了解资料的资料库，并且学生的实训操作正确性可以马上得到反馈，需要软件自动判断正确性并且进行评分。</w:t>
      </w:r>
    </w:p>
    <w:p>
      <w:pPr>
        <w:numPr>
          <w:ilvl w:val="0"/>
          <w:numId w:val="1"/>
        </w:numPr>
        <w:spacing w:line="360" w:lineRule="auto"/>
        <w:ind w:left="357" w:hanging="357"/>
        <w:rPr>
          <w:rFonts w:hint="eastAsia"/>
          <w:sz w:val="24"/>
        </w:rPr>
      </w:pPr>
      <w:r>
        <w:rPr>
          <w:rFonts w:hint="eastAsia"/>
          <w:sz w:val="24"/>
        </w:rPr>
        <w:t>每个业务的操作步骤可以由老师选择，可以增加业务操作步骤提示。</w:t>
      </w:r>
    </w:p>
    <w:p>
      <w:pPr>
        <w:numPr>
          <w:ilvl w:val="0"/>
          <w:numId w:val="1"/>
        </w:numPr>
        <w:spacing w:line="360" w:lineRule="auto"/>
        <w:rPr>
          <w:rFonts w:hint="eastAsia"/>
          <w:sz w:val="24"/>
        </w:rPr>
      </w:pPr>
      <w:r>
        <w:rPr>
          <w:rFonts w:hint="eastAsia"/>
          <w:sz w:val="24"/>
        </w:rPr>
        <w:t>软件提供完整的帮助系统，在学生有疑问的时候可以马上得到理论知识和实际操作的指导。</w:t>
      </w:r>
    </w:p>
    <w:p>
      <w:pPr>
        <w:numPr>
          <w:ilvl w:val="0"/>
          <w:numId w:val="1"/>
        </w:numPr>
        <w:spacing w:line="360" w:lineRule="auto"/>
        <w:rPr>
          <w:rFonts w:hint="eastAsia"/>
          <w:sz w:val="24"/>
        </w:rPr>
      </w:pPr>
      <w:r>
        <w:rPr>
          <w:rFonts w:hint="eastAsia"/>
          <w:sz w:val="24"/>
        </w:rPr>
        <w:t>系统教师端、学生端主要技术要求：</w:t>
      </w:r>
    </w:p>
    <w:tbl>
      <w:tblPr>
        <w:tblStyle w:val="4"/>
        <w:tblW w:w="8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1588"/>
        <w:gridCol w:w="4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1901" w:type="dxa"/>
            <w:vMerge w:val="restart"/>
          </w:tcPr>
          <w:p>
            <w:pPr>
              <w:spacing w:beforeLines="50" w:afterLines="50" w:line="360" w:lineRule="auto"/>
              <w:rPr>
                <w:rFonts w:hint="eastAsia"/>
                <w:b/>
                <w:sz w:val="24"/>
              </w:rPr>
            </w:pPr>
            <w:r>
              <w:rPr>
                <w:rFonts w:hint="eastAsia"/>
                <w:b/>
                <w:sz w:val="24"/>
              </w:rPr>
              <w:t>教师端</w:t>
            </w:r>
          </w:p>
        </w:tc>
        <w:tc>
          <w:tcPr>
            <w:tcW w:w="1588" w:type="dxa"/>
          </w:tcPr>
          <w:p>
            <w:pPr>
              <w:spacing w:beforeLines="50" w:afterLines="50" w:line="360" w:lineRule="auto"/>
              <w:rPr>
                <w:rFonts w:hint="eastAsia"/>
                <w:sz w:val="24"/>
              </w:rPr>
            </w:pPr>
            <w:r>
              <w:rPr>
                <w:rFonts w:hint="eastAsia" w:ascii="宋体" w:hAnsi="宋体"/>
                <w:b/>
                <w:sz w:val="24"/>
              </w:rPr>
              <w:t>☆</w:t>
            </w:r>
            <w:r>
              <w:rPr>
                <w:rFonts w:hint="eastAsia"/>
                <w:sz w:val="24"/>
              </w:rPr>
              <w:t>学生管理</w:t>
            </w:r>
          </w:p>
        </w:tc>
        <w:tc>
          <w:tcPr>
            <w:tcW w:w="4878" w:type="dxa"/>
          </w:tcPr>
          <w:p>
            <w:pPr>
              <w:spacing w:line="520" w:lineRule="exact"/>
              <w:rPr>
                <w:rFonts w:hint="eastAsia" w:ascii="宋体" w:hAnsi="宋体"/>
                <w:sz w:val="24"/>
              </w:rPr>
            </w:pPr>
            <w:r>
              <w:rPr>
                <w:rFonts w:hint="eastAsia" w:ascii="宋体" w:hAnsi="宋体"/>
                <w:sz w:val="24"/>
              </w:rPr>
              <w:t>要求添加学生名单有三种方式：单个添加、批量添加、文件导入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trPr>
        <w:tc>
          <w:tcPr>
            <w:tcW w:w="1901" w:type="dxa"/>
            <w:vMerge w:val="continue"/>
          </w:tcPr>
          <w:p>
            <w:pPr>
              <w:spacing w:beforeLines="50" w:afterLines="50" w:line="360" w:lineRule="auto"/>
              <w:rPr>
                <w:rFonts w:hint="eastAsia"/>
                <w:b/>
                <w:sz w:val="24"/>
              </w:rPr>
            </w:pPr>
          </w:p>
        </w:tc>
        <w:tc>
          <w:tcPr>
            <w:tcW w:w="1588" w:type="dxa"/>
          </w:tcPr>
          <w:p>
            <w:pPr>
              <w:spacing w:beforeLines="50" w:afterLines="50" w:line="360" w:lineRule="auto"/>
              <w:rPr>
                <w:rFonts w:hint="eastAsia"/>
                <w:sz w:val="24"/>
              </w:rPr>
            </w:pPr>
            <w:r>
              <w:rPr>
                <w:rFonts w:hint="eastAsia" w:ascii="宋体" w:hAnsi="宋体"/>
                <w:b/>
                <w:sz w:val="24"/>
              </w:rPr>
              <w:t>☆</w:t>
            </w:r>
            <w:r>
              <w:rPr>
                <w:rFonts w:hint="eastAsia"/>
                <w:sz w:val="24"/>
              </w:rPr>
              <w:t>实验管理</w:t>
            </w:r>
          </w:p>
        </w:tc>
        <w:tc>
          <w:tcPr>
            <w:tcW w:w="4878" w:type="dxa"/>
          </w:tcPr>
          <w:p>
            <w:pPr>
              <w:spacing w:line="520" w:lineRule="exact"/>
              <w:rPr>
                <w:rFonts w:hint="eastAsia" w:ascii="宋体" w:hAnsi="宋体"/>
                <w:sz w:val="24"/>
              </w:rPr>
            </w:pPr>
            <w:r>
              <w:rPr>
                <w:rFonts w:hint="eastAsia" w:ascii="宋体" w:hAnsi="宋体"/>
                <w:sz w:val="24"/>
              </w:rPr>
              <w:t>能够设置开启关闭实验、可否跳过业务步骤、是否提供操作指引、是否允许重做、设置实验时间等功能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1901" w:type="dxa"/>
            <w:vMerge w:val="continue"/>
          </w:tcPr>
          <w:p>
            <w:pPr>
              <w:spacing w:beforeLines="50" w:afterLines="50" w:line="360" w:lineRule="auto"/>
              <w:rPr>
                <w:rFonts w:hint="eastAsia"/>
                <w:b/>
                <w:sz w:val="24"/>
              </w:rPr>
            </w:pPr>
          </w:p>
        </w:tc>
        <w:tc>
          <w:tcPr>
            <w:tcW w:w="1588" w:type="dxa"/>
          </w:tcPr>
          <w:p>
            <w:pPr>
              <w:spacing w:beforeLines="50" w:afterLines="50" w:line="360" w:lineRule="auto"/>
              <w:rPr>
                <w:rFonts w:hint="eastAsia"/>
                <w:sz w:val="24"/>
              </w:rPr>
            </w:pPr>
            <w:r>
              <w:rPr>
                <w:rFonts w:hint="eastAsia" w:ascii="宋体" w:hAnsi="宋体"/>
                <w:b/>
                <w:sz w:val="24"/>
              </w:rPr>
              <w:t>☆</w:t>
            </w:r>
            <w:r>
              <w:rPr>
                <w:rFonts w:hint="eastAsia"/>
                <w:sz w:val="24"/>
              </w:rPr>
              <w:t>实验详细</w:t>
            </w:r>
          </w:p>
        </w:tc>
        <w:tc>
          <w:tcPr>
            <w:tcW w:w="4878" w:type="dxa"/>
          </w:tcPr>
          <w:p>
            <w:pPr>
              <w:spacing w:line="520" w:lineRule="exact"/>
              <w:rPr>
                <w:rFonts w:hint="eastAsia" w:ascii="宋体" w:hAnsi="宋体"/>
                <w:sz w:val="24"/>
              </w:rPr>
            </w:pPr>
            <w:r>
              <w:rPr>
                <w:rFonts w:hint="eastAsia" w:ascii="宋体" w:hAnsi="宋体"/>
                <w:sz w:val="24"/>
              </w:rPr>
              <w:t>要求能够对不同学生指定任务，查看每个学生操作步骤正确或错误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901" w:type="dxa"/>
            <w:vMerge w:val="continue"/>
          </w:tcPr>
          <w:p>
            <w:pPr>
              <w:spacing w:beforeLines="50" w:afterLines="50" w:line="360" w:lineRule="auto"/>
              <w:rPr>
                <w:rFonts w:hint="eastAsia"/>
                <w:b/>
                <w:sz w:val="24"/>
              </w:rPr>
            </w:pPr>
          </w:p>
        </w:tc>
        <w:tc>
          <w:tcPr>
            <w:tcW w:w="1588" w:type="dxa"/>
          </w:tcPr>
          <w:p>
            <w:pPr>
              <w:spacing w:beforeLines="50" w:afterLines="50" w:line="360" w:lineRule="auto"/>
              <w:rPr>
                <w:rFonts w:hint="eastAsia"/>
                <w:sz w:val="24"/>
              </w:rPr>
            </w:pPr>
            <w:r>
              <w:rPr>
                <w:rFonts w:hint="eastAsia" w:ascii="宋体" w:hAnsi="宋体"/>
                <w:b/>
                <w:sz w:val="24"/>
              </w:rPr>
              <w:t>☆</w:t>
            </w:r>
            <w:r>
              <w:rPr>
                <w:rFonts w:hint="eastAsia"/>
                <w:sz w:val="24"/>
              </w:rPr>
              <w:t>任务管理</w:t>
            </w:r>
          </w:p>
        </w:tc>
        <w:tc>
          <w:tcPr>
            <w:tcW w:w="4878" w:type="dxa"/>
          </w:tcPr>
          <w:p>
            <w:pPr>
              <w:spacing w:line="520" w:lineRule="exact"/>
              <w:rPr>
                <w:rFonts w:hint="eastAsia" w:ascii="宋体" w:hAnsi="宋体"/>
                <w:sz w:val="24"/>
              </w:rPr>
            </w:pPr>
            <w:r>
              <w:rPr>
                <w:rFonts w:hint="eastAsia" w:ascii="宋体" w:hAnsi="宋体"/>
                <w:sz w:val="24"/>
              </w:rPr>
              <w:t>要求可以添加删除任务步骤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1901" w:type="dxa"/>
            <w:vMerge w:val="continue"/>
          </w:tcPr>
          <w:p>
            <w:pPr>
              <w:spacing w:beforeLines="50" w:afterLines="50" w:line="360" w:lineRule="auto"/>
              <w:rPr>
                <w:rFonts w:hint="eastAsia"/>
                <w:b/>
                <w:sz w:val="24"/>
              </w:rPr>
            </w:pPr>
          </w:p>
        </w:tc>
        <w:tc>
          <w:tcPr>
            <w:tcW w:w="1588" w:type="dxa"/>
          </w:tcPr>
          <w:p>
            <w:pPr>
              <w:spacing w:beforeLines="50" w:afterLines="50" w:line="360" w:lineRule="auto"/>
              <w:rPr>
                <w:rFonts w:hint="eastAsia"/>
                <w:sz w:val="24"/>
              </w:rPr>
            </w:pPr>
            <w:r>
              <w:rPr>
                <w:rFonts w:hint="eastAsia" w:ascii="宋体" w:hAnsi="宋体"/>
                <w:b/>
                <w:sz w:val="24"/>
              </w:rPr>
              <w:t>☆</w:t>
            </w:r>
            <w:r>
              <w:rPr>
                <w:rFonts w:hint="eastAsia"/>
                <w:sz w:val="24"/>
              </w:rPr>
              <w:t>业务设置</w:t>
            </w:r>
          </w:p>
        </w:tc>
        <w:tc>
          <w:tcPr>
            <w:tcW w:w="4878" w:type="dxa"/>
          </w:tcPr>
          <w:p>
            <w:pPr>
              <w:spacing w:line="520" w:lineRule="exact"/>
              <w:rPr>
                <w:rFonts w:hint="eastAsia" w:ascii="宋体" w:hAnsi="宋体"/>
                <w:sz w:val="24"/>
              </w:rPr>
            </w:pPr>
            <w:r>
              <w:rPr>
                <w:rFonts w:hint="eastAsia" w:ascii="宋体" w:hAnsi="宋体"/>
                <w:sz w:val="24"/>
              </w:rPr>
              <w:t>要求可以设置每一个步骤的分值，可以修改软件内置客户需求、身份证等信息作为新的案例实训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trPr>
        <w:tc>
          <w:tcPr>
            <w:tcW w:w="1901" w:type="dxa"/>
            <w:vMerge w:val="restart"/>
          </w:tcPr>
          <w:p>
            <w:pPr>
              <w:spacing w:beforeLines="50" w:afterLines="50" w:line="360" w:lineRule="auto"/>
              <w:rPr>
                <w:rFonts w:hint="eastAsia"/>
                <w:b/>
                <w:sz w:val="24"/>
              </w:rPr>
            </w:pPr>
            <w:r>
              <w:rPr>
                <w:rFonts w:hint="eastAsia"/>
                <w:b/>
                <w:sz w:val="24"/>
              </w:rPr>
              <w:t>学生端</w:t>
            </w:r>
          </w:p>
          <w:p>
            <w:pPr>
              <w:rPr>
                <w:rFonts w:hint="eastAsia"/>
                <w:sz w:val="24"/>
              </w:rPr>
            </w:pPr>
          </w:p>
        </w:tc>
        <w:tc>
          <w:tcPr>
            <w:tcW w:w="1588" w:type="dxa"/>
          </w:tcPr>
          <w:p>
            <w:pPr>
              <w:spacing w:beforeLines="50" w:afterLines="50" w:line="360" w:lineRule="auto"/>
              <w:rPr>
                <w:rFonts w:hint="eastAsia"/>
                <w:sz w:val="24"/>
              </w:rPr>
            </w:pPr>
            <w:r>
              <w:rPr>
                <w:rFonts w:hint="eastAsia" w:ascii="宋体" w:hAnsi="宋体"/>
                <w:b/>
                <w:sz w:val="24"/>
              </w:rPr>
              <w:t>☆</w:t>
            </w:r>
            <w:r>
              <w:rPr>
                <w:rFonts w:hint="eastAsia"/>
                <w:sz w:val="24"/>
              </w:rPr>
              <w:t>实验操作</w:t>
            </w:r>
          </w:p>
        </w:tc>
        <w:tc>
          <w:tcPr>
            <w:tcW w:w="4878" w:type="dxa"/>
          </w:tcPr>
          <w:p>
            <w:pPr>
              <w:spacing w:line="520" w:lineRule="exact"/>
              <w:rPr>
                <w:rFonts w:hint="eastAsia" w:ascii="宋体" w:hAnsi="宋体"/>
                <w:sz w:val="24"/>
              </w:rPr>
            </w:pPr>
            <w:r>
              <w:rPr>
                <w:rFonts w:hint="eastAsia" w:ascii="宋体" w:hAnsi="宋体"/>
                <w:sz w:val="24"/>
              </w:rPr>
              <w:t>要求提供实验流程图、相关业务介绍、相关凭证、常见问题、相关知识链接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trPr>
        <w:tc>
          <w:tcPr>
            <w:tcW w:w="1901" w:type="dxa"/>
            <w:vMerge w:val="continue"/>
          </w:tcPr>
          <w:p>
            <w:pPr>
              <w:spacing w:beforeLines="50" w:afterLines="50" w:line="360" w:lineRule="auto"/>
              <w:rPr>
                <w:rFonts w:hint="eastAsia"/>
                <w:b/>
                <w:sz w:val="24"/>
              </w:rPr>
            </w:pPr>
          </w:p>
        </w:tc>
        <w:tc>
          <w:tcPr>
            <w:tcW w:w="1588" w:type="dxa"/>
          </w:tcPr>
          <w:p>
            <w:pPr>
              <w:spacing w:beforeLines="50" w:afterLines="50" w:line="360" w:lineRule="auto"/>
              <w:rPr>
                <w:rFonts w:hint="eastAsia"/>
                <w:sz w:val="24"/>
              </w:rPr>
            </w:pPr>
            <w:r>
              <w:rPr>
                <w:rFonts w:hint="eastAsia" w:ascii="宋体" w:hAnsi="宋体"/>
                <w:b/>
                <w:sz w:val="24"/>
              </w:rPr>
              <w:t>☆</w:t>
            </w:r>
            <w:r>
              <w:rPr>
                <w:rFonts w:hint="eastAsia"/>
                <w:sz w:val="24"/>
              </w:rPr>
              <w:t>实验内容</w:t>
            </w:r>
          </w:p>
        </w:tc>
        <w:tc>
          <w:tcPr>
            <w:tcW w:w="4878" w:type="dxa"/>
          </w:tcPr>
          <w:p>
            <w:pPr>
              <w:spacing w:line="26" w:lineRule="atLeast"/>
              <w:jc w:val="left"/>
              <w:rPr>
                <w:rFonts w:hint="eastAsia"/>
              </w:rPr>
            </w:pPr>
            <w:r>
              <w:rPr>
                <w:rFonts w:hint="eastAsia" w:ascii="宋体" w:hAnsi="宋体"/>
                <w:sz w:val="24"/>
              </w:rPr>
              <w:t>要求提供</w:t>
            </w:r>
            <w:r>
              <w:rPr>
                <w:rFonts w:ascii="宋体" w:hAnsi="宋体"/>
                <w:sz w:val="24"/>
              </w:rPr>
              <w:t>对私个人业务、对公单位结算、国际结算、</w:t>
            </w:r>
            <w:r>
              <w:rPr>
                <w:rFonts w:hint="eastAsia" w:ascii="宋体" w:hAnsi="宋体"/>
                <w:sz w:val="24"/>
              </w:rPr>
              <w:t>信贷</w:t>
            </w:r>
            <w:r>
              <w:rPr>
                <w:rFonts w:ascii="宋体" w:hAnsi="宋体"/>
                <w:sz w:val="24"/>
              </w:rPr>
              <w:t>等多项银行业务</w:t>
            </w:r>
            <w:r>
              <w:rPr>
                <w:rFonts w:hint="eastAsia" w:ascii="宋体" w:hAnsi="宋体"/>
                <w:sz w:val="24"/>
              </w:rPr>
              <w:t>，具体应该包括</w:t>
            </w:r>
            <w:r>
              <w:rPr>
                <w:rFonts w:hint="eastAsia"/>
              </w:rPr>
              <w:t>活期储蓄存款业务、整存整取存款业务、零存整取存款业务、定活两便存款业务、通知存款存款业务、借记卡业务、贷记卡业务、代理中间业务（代缴费、基金业务）、储蓄特殊业务、单位现金业务、本票结算业务、汇票结算业务、汇兑结算业务、委托收款结算业务、单位活期存款业务、单位定期存款业务、单位通知存款业务、单位其他存款业务、同城票据结算业务、个人贷款业务、公司信贷业务、进口信用证业务、出口信用证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901" w:type="dxa"/>
            <w:vMerge w:val="continue"/>
          </w:tcPr>
          <w:p>
            <w:pPr>
              <w:spacing w:beforeLines="50" w:afterLines="50" w:line="360" w:lineRule="auto"/>
              <w:rPr>
                <w:rFonts w:hint="eastAsia"/>
                <w:b/>
                <w:sz w:val="24"/>
              </w:rPr>
            </w:pPr>
          </w:p>
        </w:tc>
        <w:tc>
          <w:tcPr>
            <w:tcW w:w="1588" w:type="dxa"/>
          </w:tcPr>
          <w:p>
            <w:pPr>
              <w:spacing w:beforeLines="50" w:afterLines="50" w:line="360" w:lineRule="auto"/>
              <w:rPr>
                <w:rFonts w:hint="eastAsia"/>
                <w:sz w:val="24"/>
              </w:rPr>
            </w:pPr>
            <w:r>
              <w:rPr>
                <w:rFonts w:hint="eastAsia" w:ascii="宋体" w:hAnsi="宋体"/>
                <w:b/>
                <w:sz w:val="24"/>
              </w:rPr>
              <w:t>☆</w:t>
            </w:r>
            <w:r>
              <w:rPr>
                <w:rFonts w:hint="eastAsia"/>
                <w:sz w:val="24"/>
              </w:rPr>
              <w:t>知识库</w:t>
            </w:r>
          </w:p>
        </w:tc>
        <w:tc>
          <w:tcPr>
            <w:tcW w:w="4878" w:type="dxa"/>
          </w:tcPr>
          <w:p>
            <w:pPr>
              <w:spacing w:line="520" w:lineRule="exact"/>
              <w:rPr>
                <w:rFonts w:hint="eastAsia" w:ascii="宋体" w:hAnsi="宋体"/>
                <w:sz w:val="24"/>
              </w:rPr>
            </w:pPr>
            <w:r>
              <w:rPr>
                <w:rFonts w:hint="eastAsia" w:ascii="宋体" w:hAnsi="宋体"/>
                <w:sz w:val="24"/>
              </w:rPr>
              <w:t>要求提供典型个案、法律法规、规范制度、知识题库、职业素养、常见问题等链接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901" w:type="dxa"/>
            <w:vMerge w:val="continue"/>
          </w:tcPr>
          <w:p>
            <w:pPr>
              <w:spacing w:beforeLines="50" w:afterLines="50" w:line="360" w:lineRule="auto"/>
              <w:rPr>
                <w:rFonts w:hint="eastAsia"/>
                <w:b/>
                <w:sz w:val="24"/>
              </w:rPr>
            </w:pPr>
          </w:p>
        </w:tc>
        <w:tc>
          <w:tcPr>
            <w:tcW w:w="1588" w:type="dxa"/>
          </w:tcPr>
          <w:p>
            <w:pPr>
              <w:spacing w:beforeLines="50" w:afterLines="50" w:line="360" w:lineRule="auto"/>
              <w:rPr>
                <w:rFonts w:hint="eastAsia"/>
                <w:sz w:val="24"/>
              </w:rPr>
            </w:pPr>
            <w:r>
              <w:rPr>
                <w:rFonts w:hint="eastAsia" w:ascii="宋体" w:hAnsi="宋体"/>
                <w:b/>
                <w:sz w:val="24"/>
              </w:rPr>
              <w:t>☆</w:t>
            </w:r>
            <w:r>
              <w:rPr>
                <w:rFonts w:hint="eastAsia"/>
                <w:sz w:val="24"/>
              </w:rPr>
              <w:t>成绩查询</w:t>
            </w:r>
          </w:p>
        </w:tc>
        <w:tc>
          <w:tcPr>
            <w:tcW w:w="4878" w:type="dxa"/>
          </w:tcPr>
          <w:p>
            <w:pPr>
              <w:spacing w:line="520" w:lineRule="exact"/>
              <w:rPr>
                <w:rFonts w:hint="eastAsia" w:ascii="宋体" w:hAnsi="宋体"/>
                <w:sz w:val="24"/>
              </w:rPr>
            </w:pPr>
            <w:r>
              <w:rPr>
                <w:rFonts w:hint="eastAsia" w:ascii="宋体" w:hAnsi="宋体"/>
                <w:sz w:val="24"/>
              </w:rPr>
              <w:t>要求提供学生详细操作步骤查询包括操作时间、得分、操作记录</w:t>
            </w:r>
          </w:p>
        </w:tc>
      </w:tr>
    </w:tbl>
    <w:p>
      <w:pPr>
        <w:pStyle w:val="6"/>
        <w:spacing w:before="0" w:after="0" w:line="360" w:lineRule="auto"/>
        <w:ind w:firstLine="472" w:firstLineChars="196"/>
        <w:outlineLvl w:val="0"/>
        <w:rPr>
          <w:rFonts w:hint="eastAsia"/>
          <w:bCs w:val="0"/>
          <w:sz w:val="24"/>
        </w:rPr>
      </w:pPr>
      <w:r>
        <w:rPr>
          <w:rFonts w:hint="eastAsia"/>
          <w:bCs w:val="0"/>
          <w:sz w:val="24"/>
        </w:rPr>
        <w:t>（三）其他要求：</w:t>
      </w:r>
    </w:p>
    <w:p>
      <w:pPr>
        <w:spacing w:line="360" w:lineRule="auto"/>
        <w:ind w:left="1323" w:leftChars="114" w:hanging="1084" w:hangingChars="450"/>
        <w:rPr>
          <w:rFonts w:hint="eastAsia" w:eastAsia="宋体"/>
          <w:b/>
          <w:bCs/>
          <w:sz w:val="24"/>
          <w:lang w:val="en-US" w:eastAsia="zh-CN"/>
        </w:rPr>
      </w:pPr>
      <w:r>
        <w:rPr>
          <w:rFonts w:hint="eastAsia" w:ascii="宋体" w:hAnsi="宋体"/>
          <w:b/>
          <w:sz w:val="24"/>
        </w:rPr>
        <w:t xml:space="preserve"> ☆</w:t>
      </w:r>
      <w:r>
        <w:rPr>
          <w:rFonts w:hint="eastAsia" w:ascii="宋体" w:hAnsi="宋体"/>
          <w:sz w:val="24"/>
          <w:lang w:eastAsia="zh-CN"/>
        </w:rPr>
        <w:t>提供江苏省本地化服务。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A60FD"/>
    <w:multiLevelType w:val="multilevel"/>
    <w:tmpl w:val="0A9A60F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52"/>
    <w:rsid w:val="00594C7B"/>
    <w:rsid w:val="00B94552"/>
    <w:rsid w:val="410A0023"/>
    <w:rsid w:val="58D83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9"/>
    <w:pPr>
      <w:keepNext/>
      <w:keepLines/>
      <w:tabs>
        <w:tab w:val="left" w:pos="1200"/>
      </w:tabs>
      <w:spacing w:before="340" w:after="140" w:line="576" w:lineRule="auto"/>
      <w:ind w:left="1200" w:leftChars="400" w:hanging="360" w:hangingChars="200"/>
      <w:jc w:val="left"/>
      <w:outlineLvl w:val="0"/>
    </w:pPr>
    <w:rPr>
      <w:rFonts w:asciiTheme="minorAscii" w:hAnsiTheme="minorAscii" w:eastAsiaTheme="minorEastAsia" w:cstheme="minorBidi"/>
      <w:b/>
      <w:bCs/>
      <w:kern w:val="44"/>
      <w:sz w:val="28"/>
      <w:szCs w:val="44"/>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customStyle="1" w:styleId="6">
    <w:name w:val="Contents2"/>
    <w:basedOn w:val="1"/>
    <w:next w:val="1"/>
    <w:qFormat/>
    <w:uiPriority w:val="0"/>
    <w:pPr>
      <w:spacing w:before="60" w:after="60" w:line="360" w:lineRule="atLeast"/>
      <w:outlineLvl w:val="1"/>
    </w:pPr>
    <w:rPr>
      <w:rFonts w:eastAsia="黑体"/>
      <w:b/>
      <w:bCs/>
      <w:sz w:val="28"/>
      <w:szCs w:val="24"/>
    </w:rPr>
  </w:style>
  <w:style w:type="paragraph" w:customStyle="1" w:styleId="7">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ca-22"/>
    <w:basedOn w:val="5"/>
    <w:uiPriority w:val="0"/>
  </w:style>
  <w:style w:type="character" w:customStyle="1" w:styleId="9">
    <w:name w:val="批注框文本 Char"/>
    <w:basedOn w:val="5"/>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222</Words>
  <Characters>1270</Characters>
  <Lines>10</Lines>
  <Paragraphs>2</Paragraphs>
  <TotalTime>19</TotalTime>
  <ScaleCrop>false</ScaleCrop>
  <LinksUpToDate>false</LinksUpToDate>
  <CharactersWithSpaces>1490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2014-07-25T01:11:00Z</dcterms:created>
  <dc:creator>huihui</dc:creator>
  <cp:lastModifiedBy>4心默唐</cp:lastModifiedBy>
  <dcterms:modified xsi:type="dcterms:W3CDTF">2019-07-22T12:04:49Z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